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25"/>
        </w:tabs>
        <w:bidi w:val="0"/>
        <w:jc w:val="left"/>
        <w:rPr>
          <w:lang w:val="en-US" w:eastAsia="zh-CN"/>
        </w:rPr>
        <w:sectPr>
          <w:headerReference r:id="rId3" w:type="default"/>
          <w:footerReference r:id="rId4" w:type="default"/>
          <w:pgSz w:w="11906" w:h="16838"/>
          <w:pgMar w:top="1440" w:right="1803" w:bottom="1440" w:left="1803" w:header="283" w:footer="850" w:gutter="0"/>
          <w:pgNumType w:fmt="numberInDash"/>
          <w:cols w:space="0" w:num="1"/>
          <w:docGrid w:type="lines" w:linePitch="367" w:charSpace="0"/>
        </w:sectPr>
      </w:pPr>
    </w:p>
    <w:p>
      <w:pPr>
        <w:widowControl/>
        <w:spacing w:after="300" w:line="500" w:lineRule="exact"/>
        <w:rPr>
          <w:rFonts w:ascii="黑体" w:hAnsi="黑体" w:eastAsia="黑体" w:cs="黑体"/>
          <w:sz w:val="32"/>
          <w:szCs w:val="32"/>
        </w:rPr>
      </w:pPr>
      <w:r>
        <w:rPr>
          <w:rFonts w:hint="eastAsia" w:ascii="黑体" w:hAnsi="黑体" w:eastAsia="黑体" w:cs="黑体"/>
          <w:sz w:val="32"/>
          <w:szCs w:val="32"/>
        </w:rPr>
        <w:t>附件3</w:t>
      </w:r>
    </w:p>
    <w:p>
      <w:pPr>
        <w:widowControl/>
        <w:spacing w:after="300" w:line="500" w:lineRule="exact"/>
        <w:jc w:val="center"/>
        <w:rPr>
          <w:rFonts w:ascii="黑体" w:hAnsi="黑体" w:eastAsia="黑体" w:cs="黑体"/>
          <w:sz w:val="44"/>
          <w:szCs w:val="44"/>
        </w:rPr>
      </w:pPr>
      <w:bookmarkStart w:id="0" w:name="_GoBack"/>
      <w:r>
        <w:rPr>
          <w:rFonts w:hint="eastAsia" w:ascii="黑体" w:hAnsi="黑体" w:eastAsia="黑体" w:cs="黑体"/>
          <w:sz w:val="44"/>
          <w:szCs w:val="44"/>
        </w:rPr>
        <w:t>台湾地区工程建设企业在岚执业范围及相关要求</w:t>
      </w:r>
    </w:p>
    <w:bookmarkEnd w:id="0"/>
    <w:tbl>
      <w:tblPr>
        <w:tblStyle w:val="8"/>
        <w:tblW w:w="14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7"/>
        <w:gridCol w:w="4275"/>
        <w:gridCol w:w="2443"/>
        <w:gridCol w:w="5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997" w:type="dxa"/>
            <w:vAlign w:val="center"/>
          </w:tcPr>
          <w:p>
            <w:pPr>
              <w:spacing w:line="50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企业类型</w:t>
            </w:r>
          </w:p>
        </w:tc>
        <w:tc>
          <w:tcPr>
            <w:tcW w:w="4275" w:type="dxa"/>
            <w:vAlign w:val="center"/>
          </w:tcPr>
          <w:p>
            <w:pPr>
              <w:spacing w:line="50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台湾地区执业范围</w:t>
            </w:r>
          </w:p>
        </w:tc>
        <w:tc>
          <w:tcPr>
            <w:tcW w:w="2443" w:type="dxa"/>
            <w:vAlign w:val="center"/>
          </w:tcPr>
          <w:p>
            <w:pPr>
              <w:spacing w:line="50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在岚执业范围</w:t>
            </w:r>
          </w:p>
        </w:tc>
        <w:tc>
          <w:tcPr>
            <w:tcW w:w="5410" w:type="dxa"/>
            <w:vAlign w:val="center"/>
          </w:tcPr>
          <w:p>
            <w:pPr>
              <w:spacing w:line="50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资质、业绩及人员要求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1997" w:type="dxa"/>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综合营造业</w:t>
            </w:r>
          </w:p>
          <w:p>
            <w:pPr>
              <w:spacing w:line="500" w:lineRule="exact"/>
              <w:jc w:val="center"/>
              <w:rPr>
                <w:rFonts w:ascii="仿宋_GB2312" w:hAnsi="仿宋_GB2312" w:eastAsia="仿宋_GB2312" w:cs="仿宋_GB2312"/>
                <w:sz w:val="32"/>
                <w:szCs w:val="32"/>
              </w:rPr>
            </w:pPr>
          </w:p>
        </w:tc>
        <w:tc>
          <w:tcPr>
            <w:tcW w:w="4275" w:type="dxa"/>
            <w:vAlign w:val="center"/>
          </w:tcPr>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综理营缮工程施工及管理等整体性工作，甲等营造业承揽工程金额不受限制，乙等营造业承揽新台币七千五百万元以下的工程。</w:t>
            </w:r>
          </w:p>
          <w:p>
            <w:pPr>
              <w:spacing w:line="500" w:lineRule="exact"/>
              <w:rPr>
                <w:rFonts w:ascii="仿宋_GB2312" w:hAnsi="仿宋_GB2312" w:eastAsia="仿宋_GB2312" w:cs="仿宋_GB2312"/>
                <w:sz w:val="32"/>
                <w:szCs w:val="32"/>
              </w:rPr>
            </w:pPr>
          </w:p>
        </w:tc>
        <w:tc>
          <w:tcPr>
            <w:tcW w:w="2443" w:type="dxa"/>
            <w:vAlign w:val="center"/>
          </w:tcPr>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房屋建筑、市政公用、公路、港口与航道等工程施工总承包。</w:t>
            </w:r>
          </w:p>
        </w:tc>
        <w:tc>
          <w:tcPr>
            <w:tcW w:w="5410" w:type="dxa"/>
            <w:vAlign w:val="center"/>
          </w:tcPr>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一、资质不分等级，乙等资质综合营造业承揽工程的单项合同额不得超过2000万元。</w:t>
            </w:r>
          </w:p>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二、人员配备、业绩以大陆地区要求为准，其中人员可以由经我区职业资格采信的台湾专业人员或大陆地区技术人员组成，业绩可以采认台湾地区相同类别、同等及以上规模业绩。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0" w:hRule="atLeast"/>
        </w:trPr>
        <w:tc>
          <w:tcPr>
            <w:tcW w:w="1997" w:type="dxa"/>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工程技术顾问公司</w:t>
            </w:r>
          </w:p>
          <w:p>
            <w:pPr>
              <w:widowControl/>
              <w:spacing w:line="500" w:lineRule="exact"/>
              <w:jc w:val="center"/>
              <w:rPr>
                <w:rFonts w:ascii="仿宋_GB2312" w:hAnsi="仿宋_GB2312" w:eastAsia="仿宋_GB2312" w:cs="仿宋_GB2312"/>
                <w:sz w:val="32"/>
                <w:szCs w:val="32"/>
              </w:rPr>
            </w:pPr>
          </w:p>
        </w:tc>
        <w:tc>
          <w:tcPr>
            <w:tcW w:w="4275" w:type="dxa"/>
            <w:vAlign w:val="center"/>
          </w:tcPr>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从事在地面上下新建、增建、改建、修建、拆除构造物与其所属设备、改变自然环境之行为及其他经主管机关认定工程之技术服务事项，包括规划与可行性研究、基本设计、细部设计、协办招标与决标、施工监造、项目管理及其相关技术性服务。</w:t>
            </w:r>
          </w:p>
        </w:tc>
        <w:tc>
          <w:tcPr>
            <w:tcW w:w="2443" w:type="dxa"/>
            <w:vAlign w:val="center"/>
          </w:tcPr>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房屋建筑、市政公用、公路、港口与航道、风景园林、建筑装饰等工程设计、监理、造价咨询、招标代理和项目管理等业务。</w:t>
            </w:r>
          </w:p>
        </w:tc>
        <w:tc>
          <w:tcPr>
            <w:tcW w:w="5410" w:type="dxa"/>
            <w:vAlign w:val="center"/>
          </w:tcPr>
          <w:p>
            <w:pPr>
              <w:widowControl/>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资质不分等级，人员配备、业绩以大陆地区要求为准，其中人员可以由经我区职业资格采信的台湾专业人员或大陆地区技术人员组成，业绩可以采认台湾地区相同类别、同等及以上规模业绩。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1997" w:type="dxa"/>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建筑师事务所</w:t>
            </w:r>
          </w:p>
          <w:p>
            <w:pPr>
              <w:widowControl/>
              <w:spacing w:line="500" w:lineRule="exact"/>
              <w:jc w:val="center"/>
              <w:rPr>
                <w:rFonts w:ascii="仿宋_GB2312" w:hAnsi="仿宋_GB2312" w:eastAsia="仿宋_GB2312" w:cs="仿宋_GB2312"/>
                <w:sz w:val="32"/>
                <w:szCs w:val="32"/>
              </w:rPr>
            </w:pPr>
          </w:p>
        </w:tc>
        <w:tc>
          <w:tcPr>
            <w:tcW w:w="4275" w:type="dxa"/>
            <w:vAlign w:val="center"/>
          </w:tcPr>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办理建筑物及其实质环境之调查、测量、设计、监造、估价、检查、鉴定等各项业务，并得代委托人办理申请建筑许可、招标投标、拟定施工契约及其他工程上之接洽事项。</w:t>
            </w:r>
          </w:p>
        </w:tc>
        <w:tc>
          <w:tcPr>
            <w:tcW w:w="2443" w:type="dxa"/>
            <w:vAlign w:val="center"/>
          </w:tcPr>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房屋建筑工程设计、监理、招标代理、工程咨询等业务。</w:t>
            </w:r>
          </w:p>
        </w:tc>
        <w:tc>
          <w:tcPr>
            <w:tcW w:w="5410" w:type="dxa"/>
            <w:vAlign w:val="center"/>
          </w:tcPr>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资质不分等级，人员配备、业绩以大陆地区要求为准，其中人员可以由经我区职业资格采信的台湾专业人员或大陆地区技术人员组成，业绩可以采认台湾地区相同类别、同等及以上规模业绩。</w:t>
            </w:r>
          </w:p>
        </w:tc>
      </w:tr>
    </w:tbl>
    <w:p>
      <w:pPr>
        <w:spacing w:line="520" w:lineRule="exact"/>
        <w:rPr>
          <w:rFonts w:ascii="仿宋_GB2312" w:eastAsia="仿宋_GB2312"/>
          <w:sz w:val="32"/>
          <w:szCs w:val="32"/>
        </w:rPr>
      </w:pPr>
    </w:p>
    <w:sectPr>
      <w:footerReference r:id="rId5" w:type="default"/>
      <w:pgSz w:w="16838" w:h="11906" w:orient="landscape"/>
      <w:pgMar w:top="1803" w:right="1440" w:bottom="1803" w:left="1440" w:header="283" w:footer="850" w:gutter="0"/>
      <w:pgNumType w:fmt="numberInDash"/>
      <w:cols w:space="0" w:num="1"/>
      <w:docGrid w:type="lines" w:linePitch="37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華康中黑體">
    <w:altName w:val="Microsoft JhengHei"/>
    <w:panose1 w:val="00000000000000000000"/>
    <w:charset w:val="88"/>
    <w:family w:val="modern"/>
    <w:pitch w:val="default"/>
    <w:sig w:usb0="00000000" w:usb1="00000000" w:usb2="00000016" w:usb3="00000000" w:csb0="00100000" w:csb1="00000000"/>
  </w:font>
  <w:font w:name="Microsoft JhengHei">
    <w:panose1 w:val="020B0604030504040204"/>
    <w:charset w:val="88"/>
    <w:family w:val="auto"/>
    <w:pitch w:val="default"/>
    <w:sig w:usb0="000002A7" w:usb1="28CF4400" w:usb2="00000016" w:usb3="00000000" w:csb0="00100009"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eastAsiaTheme="minorEastAsia"/>
                              <w:sz w:val="24"/>
                            </w:rPr>
                          </w:pPr>
                          <w:r>
                            <w:rPr>
                              <w:rFonts w:eastAsiaTheme="minorEastAsia"/>
                              <w:sz w:val="24"/>
                            </w:rPr>
                            <w:t>-</w:t>
                          </w:r>
                          <w:r>
                            <w:rPr>
                              <w:rFonts w:eastAsiaTheme="minorEastAsia"/>
                              <w:sz w:val="28"/>
                              <w:szCs w:val="28"/>
                            </w:rPr>
                            <w:fldChar w:fldCharType="begin"/>
                          </w:r>
                          <w:r>
                            <w:rPr>
                              <w:rFonts w:eastAsiaTheme="minorEastAsia"/>
                              <w:sz w:val="28"/>
                              <w:szCs w:val="28"/>
                            </w:rPr>
                            <w:instrText xml:space="preserve"> PAGE  \* MERGEFORMAT </w:instrText>
                          </w:r>
                          <w:r>
                            <w:rPr>
                              <w:rFonts w:eastAsiaTheme="minorEastAsia"/>
                              <w:sz w:val="28"/>
                              <w:szCs w:val="28"/>
                            </w:rPr>
                            <w:fldChar w:fldCharType="separate"/>
                          </w:r>
                          <w:r>
                            <w:rPr>
                              <w:rFonts w:eastAsiaTheme="minorEastAsia"/>
                              <w:sz w:val="28"/>
                              <w:szCs w:val="28"/>
                            </w:rPr>
                            <w:t>- 14 -</w:t>
                          </w:r>
                          <w:r>
                            <w:rPr>
                              <w:rFonts w:eastAsiaTheme="minorEastAsia"/>
                              <w:sz w:val="28"/>
                              <w:szCs w:val="28"/>
                            </w:rPr>
                            <w:fldChar w:fldCharType="end"/>
                          </w:r>
                          <w:r>
                            <w:rPr>
                              <w:rFonts w:eastAsiaTheme="minorEastAsia"/>
                              <w:sz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5"/>
                      <w:rPr>
                        <w:rFonts w:eastAsiaTheme="minorEastAsia"/>
                        <w:sz w:val="24"/>
                      </w:rPr>
                    </w:pPr>
                    <w:r>
                      <w:rPr>
                        <w:rFonts w:eastAsiaTheme="minorEastAsia"/>
                        <w:sz w:val="24"/>
                      </w:rPr>
                      <w:t>-</w:t>
                    </w:r>
                    <w:r>
                      <w:rPr>
                        <w:rFonts w:eastAsiaTheme="minorEastAsia"/>
                        <w:sz w:val="28"/>
                        <w:szCs w:val="28"/>
                      </w:rPr>
                      <w:fldChar w:fldCharType="begin"/>
                    </w:r>
                    <w:r>
                      <w:rPr>
                        <w:rFonts w:eastAsiaTheme="minorEastAsia"/>
                        <w:sz w:val="28"/>
                        <w:szCs w:val="28"/>
                      </w:rPr>
                      <w:instrText xml:space="preserve"> PAGE  \* MERGEFORMAT </w:instrText>
                    </w:r>
                    <w:r>
                      <w:rPr>
                        <w:rFonts w:eastAsiaTheme="minorEastAsia"/>
                        <w:sz w:val="28"/>
                        <w:szCs w:val="28"/>
                      </w:rPr>
                      <w:fldChar w:fldCharType="separate"/>
                    </w:r>
                    <w:r>
                      <w:rPr>
                        <w:rFonts w:eastAsiaTheme="minorEastAsia"/>
                        <w:sz w:val="28"/>
                        <w:szCs w:val="28"/>
                      </w:rPr>
                      <w:t>- 14 -</w:t>
                    </w:r>
                    <w:r>
                      <w:rPr>
                        <w:rFonts w:eastAsiaTheme="minorEastAsia"/>
                        <w:sz w:val="28"/>
                        <w:szCs w:val="28"/>
                      </w:rPr>
                      <w:fldChar w:fldCharType="end"/>
                    </w:r>
                    <w:r>
                      <w:rPr>
                        <w:rFonts w:eastAsiaTheme="minorEastAsia"/>
                        <w:sz w:val="24"/>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- 15 -</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- 15 -</w:t>
                    </w:r>
                    <w:r>
                      <w:rPr>
                        <w:rFonts w:hint="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embedSystemFonts/>
  <w:bordersDoNotSurroundHeader w:val="1"/>
  <w:bordersDoNotSurroundFooter w:val="1"/>
  <w:documentProtection w:enforcement="0"/>
  <w:defaultTabStop w:val="420"/>
  <w:drawingGridVerticalSpacing w:val="18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6D6"/>
    <w:rsid w:val="00090665"/>
    <w:rsid w:val="000B6716"/>
    <w:rsid w:val="002125E8"/>
    <w:rsid w:val="00393765"/>
    <w:rsid w:val="00410DAD"/>
    <w:rsid w:val="0077267E"/>
    <w:rsid w:val="00C776D6"/>
    <w:rsid w:val="00FE7F50"/>
    <w:rsid w:val="06011D0D"/>
    <w:rsid w:val="069E11BF"/>
    <w:rsid w:val="07D87A83"/>
    <w:rsid w:val="0DAA592A"/>
    <w:rsid w:val="0E3443B5"/>
    <w:rsid w:val="10556E71"/>
    <w:rsid w:val="13E22C4D"/>
    <w:rsid w:val="1493327E"/>
    <w:rsid w:val="172274B8"/>
    <w:rsid w:val="18177315"/>
    <w:rsid w:val="187B4BB8"/>
    <w:rsid w:val="1E4E4394"/>
    <w:rsid w:val="203219C2"/>
    <w:rsid w:val="243C5FEA"/>
    <w:rsid w:val="24755982"/>
    <w:rsid w:val="25777D91"/>
    <w:rsid w:val="2D2858E5"/>
    <w:rsid w:val="2F863614"/>
    <w:rsid w:val="30722EF5"/>
    <w:rsid w:val="30D02436"/>
    <w:rsid w:val="32A13439"/>
    <w:rsid w:val="32B52D01"/>
    <w:rsid w:val="34320E23"/>
    <w:rsid w:val="348035B3"/>
    <w:rsid w:val="362A6A44"/>
    <w:rsid w:val="372D5215"/>
    <w:rsid w:val="38175A11"/>
    <w:rsid w:val="3AF6307A"/>
    <w:rsid w:val="3CA63C54"/>
    <w:rsid w:val="3EDFDDC6"/>
    <w:rsid w:val="41AD1C45"/>
    <w:rsid w:val="434A7547"/>
    <w:rsid w:val="43BC2EA5"/>
    <w:rsid w:val="44776E5B"/>
    <w:rsid w:val="449D2340"/>
    <w:rsid w:val="44A1242E"/>
    <w:rsid w:val="4B6F13BF"/>
    <w:rsid w:val="4C7E60F4"/>
    <w:rsid w:val="4E272122"/>
    <w:rsid w:val="50DD7625"/>
    <w:rsid w:val="56092955"/>
    <w:rsid w:val="5E461906"/>
    <w:rsid w:val="5F0C5A31"/>
    <w:rsid w:val="60DE6D11"/>
    <w:rsid w:val="6BED7BE7"/>
    <w:rsid w:val="6C98479F"/>
    <w:rsid w:val="6F0123DA"/>
    <w:rsid w:val="724A543A"/>
    <w:rsid w:val="734C0D2F"/>
    <w:rsid w:val="7A181D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keepNext/>
      <w:keepLines/>
      <w:spacing w:line="400" w:lineRule="exact"/>
      <w:outlineLvl w:val="2"/>
    </w:pPr>
    <w:rPr>
      <w:rFonts w:ascii="Calibri" w:hAnsi="Calibri"/>
      <w:b/>
      <w:sz w:val="27"/>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index 8"/>
    <w:next w:val="1"/>
    <w:qFormat/>
    <w:uiPriority w:val="0"/>
    <w:pPr>
      <w:widowControl w:val="0"/>
      <w:ind w:left="2940"/>
      <w:jc w:val="both"/>
    </w:pPr>
    <w:rPr>
      <w:rFonts w:ascii="仿宋_GB2312" w:hAnsi="Times New Roman" w:eastAsia="仿宋_GB2312" w:cs="Times New Roman"/>
      <w:kern w:val="2"/>
      <w:sz w:val="32"/>
      <w:szCs w:val="32"/>
      <w:lang w:val="en-US" w:eastAsia="zh-CN" w:bidi="ar-SA"/>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paragraph" w:customStyle="1" w:styleId="11">
    <w:name w:val="p0"/>
    <w:next w:val="3"/>
    <w:qFormat/>
    <w:uiPriority w:val="0"/>
    <w:pPr>
      <w:spacing w:before="100" w:beforeAutospacing="1" w:after="100" w:afterAutospacing="1"/>
    </w:pPr>
    <w:rPr>
      <w:rFonts w:ascii="宋体" w:hAnsi="宋体" w:eastAsia="宋体" w:cs="宋体"/>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16</Pages>
  <Words>780</Words>
  <Characters>4447</Characters>
  <Lines>37</Lines>
  <Paragraphs>10</Paragraphs>
  <TotalTime>4</TotalTime>
  <ScaleCrop>false</ScaleCrop>
  <LinksUpToDate>false</LinksUpToDate>
  <CharactersWithSpaces>5217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2019-09-04T16:01:00Z</dcterms:created>
  <dc:creator>Administrator</dc:creator>
  <cp:lastModifiedBy>123</cp:lastModifiedBy>
  <cp:lastPrinted>2019-12-19T09:59:00Z</cp:lastPrinted>
  <dcterms:modified xsi:type="dcterms:W3CDTF">2021-12-30T10:27:22Z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49A1AEFE2EFC4ECB93D9383335A47907</vt:lpwstr>
  </property>
</Properties>
</file>